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46" w:rsidRDefault="003D3C0D" w:rsidP="004804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Оздоровительный процесс в ДОУ</w:t>
      </w:r>
    </w:p>
    <w:p w:rsidR="004318FF" w:rsidRDefault="004318FF" w:rsidP="004318FF">
      <w:pPr>
        <w:jc w:val="both"/>
        <w:rPr>
          <w:rFonts w:ascii="Century" w:hAnsi="Century" w:cs="Arial"/>
          <w:sz w:val="28"/>
          <w:szCs w:val="28"/>
        </w:rPr>
      </w:pPr>
      <w:r w:rsidRPr="00B549EC">
        <w:rPr>
          <w:rFonts w:ascii="Century" w:hAnsi="Century" w:cs="Arial"/>
          <w:sz w:val="28"/>
          <w:szCs w:val="28"/>
        </w:rPr>
        <w:t>Большое значение по эффективной</w:t>
      </w:r>
      <w:r>
        <w:rPr>
          <w:rFonts w:ascii="Century" w:hAnsi="Century" w:cs="Arial"/>
          <w:sz w:val="28"/>
          <w:szCs w:val="28"/>
        </w:rPr>
        <w:t xml:space="preserve"> работе педагогов с воспитанниками ДОУ является сохранение здоровья воспитанников через проведение регулярных оздоровительных мероприятий, а именно:</w:t>
      </w:r>
    </w:p>
    <w:p w:rsidR="004318FF" w:rsidRDefault="004318FF" w:rsidP="004318FF">
      <w:pPr>
        <w:jc w:val="center"/>
        <w:rPr>
          <w:rFonts w:ascii="Century" w:hAnsi="Century" w:cs="Arial"/>
          <w:b/>
          <w:sz w:val="24"/>
          <w:szCs w:val="24"/>
        </w:rPr>
      </w:pPr>
      <w:r>
        <w:rPr>
          <w:rFonts w:ascii="Century" w:hAnsi="Century" w:cs="Arial"/>
          <w:b/>
          <w:sz w:val="32"/>
          <w:szCs w:val="32"/>
        </w:rPr>
        <w:t>Профилактические мероприятия в 2014 – 2015 году</w:t>
      </w:r>
    </w:p>
    <w:tbl>
      <w:tblPr>
        <w:tblStyle w:val="a3"/>
        <w:tblpPr w:leftFromText="180" w:rightFromText="180" w:vertAnchor="text" w:horzAnchor="margin" w:tblpY="99"/>
        <w:tblW w:w="15279" w:type="dxa"/>
        <w:tblLook w:val="04A0"/>
      </w:tblPr>
      <w:tblGrid>
        <w:gridCol w:w="1951"/>
        <w:gridCol w:w="6662"/>
        <w:gridCol w:w="6666"/>
      </w:tblGrid>
      <w:tr w:rsidR="004318FF" w:rsidTr="00341C87">
        <w:trPr>
          <w:trHeight w:val="437"/>
        </w:trPr>
        <w:tc>
          <w:tcPr>
            <w:tcW w:w="1951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b/>
                <w:sz w:val="32"/>
                <w:szCs w:val="32"/>
              </w:rPr>
            </w:pPr>
            <w:r>
              <w:rPr>
                <w:rFonts w:ascii="Century" w:hAnsi="Century" w:cs="Arial"/>
                <w:b/>
                <w:sz w:val="32"/>
                <w:szCs w:val="32"/>
              </w:rPr>
              <w:t>Месяц</w:t>
            </w:r>
          </w:p>
        </w:tc>
        <w:tc>
          <w:tcPr>
            <w:tcW w:w="6662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b/>
                <w:sz w:val="32"/>
                <w:szCs w:val="32"/>
              </w:rPr>
            </w:pPr>
            <w:r>
              <w:rPr>
                <w:rFonts w:ascii="Century" w:hAnsi="Century" w:cs="Arial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6666" w:type="dxa"/>
          </w:tcPr>
          <w:p w:rsidR="004318FF" w:rsidRPr="00B549EC" w:rsidRDefault="004318FF" w:rsidP="00341C87">
            <w:pPr>
              <w:jc w:val="center"/>
              <w:rPr>
                <w:rFonts w:ascii="Century" w:hAnsi="Century" w:cs="Arial"/>
                <w:sz w:val="32"/>
                <w:szCs w:val="32"/>
              </w:rPr>
            </w:pPr>
            <w:r>
              <w:rPr>
                <w:rFonts w:ascii="Century" w:hAnsi="Century" w:cs="Arial"/>
                <w:b/>
                <w:sz w:val="32"/>
                <w:szCs w:val="32"/>
              </w:rPr>
              <w:t>Продолжительность</w:t>
            </w:r>
          </w:p>
        </w:tc>
      </w:tr>
      <w:tr w:rsidR="004318FF" w:rsidTr="00341C87">
        <w:trPr>
          <w:trHeight w:val="770"/>
        </w:trPr>
        <w:tc>
          <w:tcPr>
            <w:tcW w:w="1951" w:type="dxa"/>
          </w:tcPr>
          <w:p w:rsidR="004318FF" w:rsidRPr="00B549EC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Сентябрь</w:t>
            </w:r>
          </w:p>
        </w:tc>
        <w:tc>
          <w:tcPr>
            <w:tcW w:w="6662" w:type="dxa"/>
          </w:tcPr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 w:rsidRPr="008A5367">
              <w:rPr>
                <w:rFonts w:ascii="Century" w:hAnsi="Century" w:cs="Arial"/>
                <w:sz w:val="28"/>
                <w:szCs w:val="28"/>
              </w:rPr>
              <w:t>Оздоровительные</w:t>
            </w:r>
            <w:r>
              <w:rPr>
                <w:rFonts w:ascii="Century" w:hAnsi="Century" w:cs="Arial"/>
                <w:sz w:val="28"/>
                <w:szCs w:val="28"/>
              </w:rPr>
              <w:t xml:space="preserve"> мероприятия: воздушные ванны, рефлекторный массаж стоп,</w:t>
            </w:r>
          </w:p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Витамины  «</w:t>
            </w:r>
            <w:proofErr w:type="spellStart"/>
            <w:r>
              <w:rPr>
                <w:rFonts w:ascii="Century" w:hAnsi="Century" w:cs="Arial"/>
                <w:sz w:val="28"/>
                <w:szCs w:val="28"/>
              </w:rPr>
              <w:t>Ревит</w:t>
            </w:r>
            <w:proofErr w:type="spellEnd"/>
            <w:r>
              <w:rPr>
                <w:rFonts w:ascii="Century" w:hAnsi="Century" w:cs="Arial"/>
                <w:sz w:val="28"/>
                <w:szCs w:val="28"/>
              </w:rPr>
              <w:t>»</w:t>
            </w:r>
          </w:p>
        </w:tc>
        <w:tc>
          <w:tcPr>
            <w:tcW w:w="66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 xml:space="preserve">Ежедневно 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14 дней (1 драже 1 раз в день)</w:t>
            </w:r>
          </w:p>
        </w:tc>
      </w:tr>
      <w:tr w:rsidR="004318FF" w:rsidTr="00341C87">
        <w:trPr>
          <w:trHeight w:val="770"/>
        </w:trPr>
        <w:tc>
          <w:tcPr>
            <w:tcW w:w="1951" w:type="dxa"/>
          </w:tcPr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Октябрь</w:t>
            </w:r>
          </w:p>
        </w:tc>
        <w:tc>
          <w:tcPr>
            <w:tcW w:w="6662" w:type="dxa"/>
          </w:tcPr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Полоскание ротовой полости отваром ромашки.</w:t>
            </w:r>
          </w:p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Рефлекторный массаж стоп.</w:t>
            </w:r>
          </w:p>
        </w:tc>
        <w:tc>
          <w:tcPr>
            <w:tcW w:w="66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10 дней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Ежедневно</w:t>
            </w:r>
          </w:p>
        </w:tc>
      </w:tr>
      <w:tr w:rsidR="004318FF" w:rsidTr="00341C87">
        <w:trPr>
          <w:trHeight w:val="770"/>
        </w:trPr>
        <w:tc>
          <w:tcPr>
            <w:tcW w:w="1951" w:type="dxa"/>
          </w:tcPr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Ноябрь</w:t>
            </w:r>
          </w:p>
        </w:tc>
        <w:tc>
          <w:tcPr>
            <w:tcW w:w="6662" w:type="dxa"/>
          </w:tcPr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proofErr w:type="spellStart"/>
            <w:r>
              <w:rPr>
                <w:rFonts w:ascii="Century" w:hAnsi="Century" w:cs="Arial"/>
                <w:sz w:val="28"/>
                <w:szCs w:val="28"/>
              </w:rPr>
              <w:t>Оксолиновая</w:t>
            </w:r>
            <w:proofErr w:type="spellEnd"/>
            <w:r>
              <w:rPr>
                <w:rFonts w:ascii="Century" w:hAnsi="Century" w:cs="Arial"/>
                <w:sz w:val="28"/>
                <w:szCs w:val="28"/>
              </w:rPr>
              <w:t xml:space="preserve"> мазь.</w:t>
            </w:r>
          </w:p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</w:p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Рефлекторный массаж стоп.</w:t>
            </w:r>
          </w:p>
        </w:tc>
        <w:tc>
          <w:tcPr>
            <w:tcW w:w="66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20 дней (закладывание мази в носовые ходы 2 раза в день)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Ежедневно</w:t>
            </w:r>
          </w:p>
        </w:tc>
      </w:tr>
      <w:tr w:rsidR="004318FF" w:rsidTr="00341C87">
        <w:trPr>
          <w:trHeight w:val="770"/>
        </w:trPr>
        <w:tc>
          <w:tcPr>
            <w:tcW w:w="1951" w:type="dxa"/>
          </w:tcPr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Декабрь</w:t>
            </w:r>
          </w:p>
        </w:tc>
        <w:tc>
          <w:tcPr>
            <w:tcW w:w="6662" w:type="dxa"/>
          </w:tcPr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 xml:space="preserve">Использование природных фитонцидов (лук, чеснок) </w:t>
            </w:r>
          </w:p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Рефлекторный массаж стоп.</w:t>
            </w:r>
          </w:p>
        </w:tc>
        <w:tc>
          <w:tcPr>
            <w:tcW w:w="66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14 дней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Ежедневно</w:t>
            </w:r>
          </w:p>
        </w:tc>
      </w:tr>
      <w:tr w:rsidR="004318FF" w:rsidTr="00341C87">
        <w:trPr>
          <w:trHeight w:val="770"/>
        </w:trPr>
        <w:tc>
          <w:tcPr>
            <w:tcW w:w="1951" w:type="dxa"/>
          </w:tcPr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Январь</w:t>
            </w:r>
          </w:p>
        </w:tc>
        <w:tc>
          <w:tcPr>
            <w:tcW w:w="6662" w:type="dxa"/>
          </w:tcPr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Гематоген (группы раннего возраста).</w:t>
            </w:r>
          </w:p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Рефлекторный массаж стоп.</w:t>
            </w:r>
          </w:p>
        </w:tc>
        <w:tc>
          <w:tcPr>
            <w:tcW w:w="66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14 дней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Ежедневно</w:t>
            </w:r>
          </w:p>
        </w:tc>
      </w:tr>
      <w:tr w:rsidR="004318FF" w:rsidTr="00341C87">
        <w:trPr>
          <w:trHeight w:val="770"/>
        </w:trPr>
        <w:tc>
          <w:tcPr>
            <w:tcW w:w="1951" w:type="dxa"/>
          </w:tcPr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Февраль</w:t>
            </w:r>
          </w:p>
        </w:tc>
        <w:tc>
          <w:tcPr>
            <w:tcW w:w="6662" w:type="dxa"/>
          </w:tcPr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proofErr w:type="spellStart"/>
            <w:r>
              <w:rPr>
                <w:rFonts w:ascii="Century" w:hAnsi="Century" w:cs="Arial"/>
                <w:sz w:val="28"/>
                <w:szCs w:val="28"/>
              </w:rPr>
              <w:t>Фиточай</w:t>
            </w:r>
            <w:proofErr w:type="spellEnd"/>
          </w:p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Рефлекторный массаж стоп.</w:t>
            </w:r>
          </w:p>
        </w:tc>
        <w:tc>
          <w:tcPr>
            <w:tcW w:w="66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14 дней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Ежедневно</w:t>
            </w:r>
          </w:p>
        </w:tc>
      </w:tr>
      <w:tr w:rsidR="004318FF" w:rsidTr="00341C87">
        <w:trPr>
          <w:trHeight w:val="800"/>
        </w:trPr>
        <w:tc>
          <w:tcPr>
            <w:tcW w:w="1951" w:type="dxa"/>
          </w:tcPr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Март - апрель</w:t>
            </w:r>
          </w:p>
        </w:tc>
        <w:tc>
          <w:tcPr>
            <w:tcW w:w="6662" w:type="dxa"/>
          </w:tcPr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Полоскание ротовой полости отваром ромашки.</w:t>
            </w:r>
          </w:p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lastRenderedPageBreak/>
              <w:t>Рефлекторный массаж стоп.</w:t>
            </w:r>
          </w:p>
        </w:tc>
        <w:tc>
          <w:tcPr>
            <w:tcW w:w="66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lastRenderedPageBreak/>
              <w:t>20 дней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lastRenderedPageBreak/>
              <w:t>Ежедневно</w:t>
            </w:r>
          </w:p>
        </w:tc>
      </w:tr>
      <w:tr w:rsidR="004318FF" w:rsidTr="00341C87">
        <w:trPr>
          <w:trHeight w:val="800"/>
        </w:trPr>
        <w:tc>
          <w:tcPr>
            <w:tcW w:w="1951" w:type="dxa"/>
          </w:tcPr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662" w:type="dxa"/>
          </w:tcPr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Гематоген (группа раннего возраста)</w:t>
            </w:r>
          </w:p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Рефлекторный массаж стоп.</w:t>
            </w:r>
          </w:p>
        </w:tc>
        <w:tc>
          <w:tcPr>
            <w:tcW w:w="66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14 дней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Ежедневно</w:t>
            </w:r>
          </w:p>
        </w:tc>
      </w:tr>
      <w:tr w:rsidR="004318FF" w:rsidTr="00341C87">
        <w:trPr>
          <w:trHeight w:val="800"/>
        </w:trPr>
        <w:tc>
          <w:tcPr>
            <w:tcW w:w="1951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Июнь, июль,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август</w:t>
            </w:r>
          </w:p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6662" w:type="dxa"/>
          </w:tcPr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Оздоровительные мероприятия: орошение полости рта прохладной кипяченой водой,</w:t>
            </w:r>
          </w:p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солнечные и воздушные ванны,</w:t>
            </w:r>
          </w:p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proofErr w:type="spellStart"/>
            <w:r>
              <w:rPr>
                <w:rFonts w:ascii="Century" w:hAnsi="Century" w:cs="Arial"/>
                <w:sz w:val="28"/>
                <w:szCs w:val="28"/>
              </w:rPr>
              <w:t>босохождение</w:t>
            </w:r>
            <w:proofErr w:type="spellEnd"/>
            <w:r>
              <w:rPr>
                <w:rFonts w:ascii="Century" w:hAnsi="Century" w:cs="Arial"/>
                <w:sz w:val="28"/>
                <w:szCs w:val="28"/>
              </w:rPr>
              <w:t>, обливание ног.</w:t>
            </w:r>
          </w:p>
          <w:p w:rsidR="004318FF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Витамины «</w:t>
            </w:r>
            <w:proofErr w:type="spellStart"/>
            <w:r>
              <w:rPr>
                <w:rFonts w:ascii="Century" w:hAnsi="Century" w:cs="Arial"/>
                <w:sz w:val="28"/>
                <w:szCs w:val="28"/>
              </w:rPr>
              <w:t>Ревит</w:t>
            </w:r>
            <w:proofErr w:type="spellEnd"/>
            <w:r>
              <w:rPr>
                <w:rFonts w:ascii="Century" w:hAnsi="Century" w:cs="Arial"/>
                <w:sz w:val="28"/>
                <w:szCs w:val="28"/>
              </w:rPr>
              <w:t>»</w:t>
            </w:r>
          </w:p>
        </w:tc>
        <w:tc>
          <w:tcPr>
            <w:tcW w:w="66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Ежедневно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8A5367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14 дней</w:t>
            </w:r>
          </w:p>
        </w:tc>
      </w:tr>
    </w:tbl>
    <w:p w:rsidR="004318FF" w:rsidRDefault="004318FF" w:rsidP="004318FF">
      <w:pPr>
        <w:rPr>
          <w:rFonts w:ascii="Century" w:hAnsi="Century" w:cs="Arial"/>
          <w:b/>
          <w:sz w:val="24"/>
          <w:szCs w:val="24"/>
        </w:rPr>
      </w:pPr>
    </w:p>
    <w:p w:rsidR="004318FF" w:rsidRDefault="004318FF" w:rsidP="004318FF">
      <w:pPr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Витаминизация третьего блюда проводилась ежедневно 35/50 аскорбиновой кислоты на 1 ребенка ясли/сад соответственно. Антропометрия и осмотр детей специалистами проводились согласно плану. Профилактические прививки не проводились, т.к. лицензия получена только на оказание доврачебной, врачебной и специализированной, </w:t>
      </w:r>
      <w:proofErr w:type="spellStart"/>
      <w:proofErr w:type="gramStart"/>
      <w:r>
        <w:rPr>
          <w:rFonts w:ascii="Century" w:hAnsi="Century" w:cs="Arial"/>
          <w:sz w:val="28"/>
          <w:szCs w:val="28"/>
        </w:rPr>
        <w:t>медико</w:t>
      </w:r>
      <w:proofErr w:type="spellEnd"/>
      <w:r>
        <w:rPr>
          <w:rFonts w:ascii="Century" w:hAnsi="Century" w:cs="Arial"/>
          <w:sz w:val="28"/>
          <w:szCs w:val="28"/>
        </w:rPr>
        <w:t xml:space="preserve"> – санитарной</w:t>
      </w:r>
      <w:proofErr w:type="gramEnd"/>
      <w:r>
        <w:rPr>
          <w:rFonts w:ascii="Century" w:hAnsi="Century" w:cs="Arial"/>
          <w:sz w:val="28"/>
          <w:szCs w:val="28"/>
        </w:rPr>
        <w:t xml:space="preserve"> помощи. Реакция Манту проводилась организованно осенью и весной.</w:t>
      </w:r>
    </w:p>
    <w:p w:rsidR="004318FF" w:rsidRDefault="004318FF" w:rsidP="004318FF">
      <w:pPr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Оснащение медицинского блока удовлетворяет запросам современной медицины детского дошкольного учреждения. В наличии имеется автоклав, сухожаровой шкаф для обработки инструментария. Все блоки медицинского кабинета оснащены необходимым оборудованием для оказания первой медицинской помощи. Для ознакомления родителей с работой медицинского блока вывешиваются информационные листы на доски в раздевальных комнатах о проведении профилактических мероприятий. На сайт ДОУ регулярно выставляется информация от старшей медсестры ДОУ о профилактике вирусных и инфекционных заболеваний, оказании первой медицинской помощи при различных травмах и поражениях и т.п.</w:t>
      </w:r>
    </w:p>
    <w:p w:rsidR="004318FF" w:rsidRPr="00AE4C91" w:rsidRDefault="004318FF" w:rsidP="004318FF">
      <w:pPr>
        <w:jc w:val="center"/>
        <w:rPr>
          <w:rFonts w:ascii="Century" w:hAnsi="Century" w:cs="Arial"/>
          <w:b/>
          <w:sz w:val="32"/>
          <w:szCs w:val="32"/>
        </w:rPr>
      </w:pPr>
      <w:r>
        <w:rPr>
          <w:rFonts w:ascii="Century" w:hAnsi="Century" w:cs="Arial"/>
          <w:b/>
          <w:sz w:val="32"/>
          <w:szCs w:val="32"/>
        </w:rPr>
        <w:t>Аналитические данные по состоянию здоровья</w:t>
      </w:r>
    </w:p>
    <w:tbl>
      <w:tblPr>
        <w:tblStyle w:val="a3"/>
        <w:tblW w:w="15115" w:type="dxa"/>
        <w:tblLook w:val="04A0"/>
      </w:tblPr>
      <w:tblGrid>
        <w:gridCol w:w="5495"/>
        <w:gridCol w:w="2835"/>
        <w:gridCol w:w="2551"/>
        <w:gridCol w:w="2268"/>
        <w:gridCol w:w="1966"/>
      </w:tblGrid>
      <w:tr w:rsidR="004318FF" w:rsidTr="00341C87">
        <w:trPr>
          <w:trHeight w:val="902"/>
        </w:trPr>
        <w:tc>
          <w:tcPr>
            <w:tcW w:w="5495" w:type="dxa"/>
            <w:tcBorders>
              <w:tl2br w:val="single" w:sz="4" w:space="0" w:color="auto"/>
            </w:tcBorders>
          </w:tcPr>
          <w:p w:rsidR="004318FF" w:rsidRPr="001B26E0" w:rsidRDefault="004318FF" w:rsidP="00341C87">
            <w:pPr>
              <w:jc w:val="right"/>
              <w:rPr>
                <w:rFonts w:ascii="Century" w:hAnsi="Century" w:cs="Arial"/>
                <w:b/>
                <w:sz w:val="24"/>
                <w:szCs w:val="24"/>
              </w:rPr>
            </w:pPr>
            <w:r w:rsidRPr="001B26E0">
              <w:rPr>
                <w:rFonts w:ascii="Century" w:hAnsi="Century" w:cs="Arial"/>
                <w:b/>
                <w:sz w:val="24"/>
                <w:szCs w:val="24"/>
              </w:rPr>
              <w:lastRenderedPageBreak/>
              <w:t>Количество</w:t>
            </w:r>
          </w:p>
          <w:p w:rsidR="004318FF" w:rsidRDefault="004318FF" w:rsidP="00341C87">
            <w:pPr>
              <w:jc w:val="right"/>
              <w:rPr>
                <w:rFonts w:ascii="Century" w:hAnsi="Century" w:cs="Arial"/>
                <w:b/>
                <w:sz w:val="24"/>
                <w:szCs w:val="24"/>
              </w:rPr>
            </w:pPr>
            <w:r w:rsidRPr="001B26E0">
              <w:rPr>
                <w:rFonts w:ascii="Century" w:hAnsi="Century" w:cs="Arial"/>
                <w:b/>
                <w:sz w:val="24"/>
                <w:szCs w:val="24"/>
              </w:rPr>
              <w:t>детей в ДОУ</w:t>
            </w:r>
          </w:p>
          <w:p w:rsidR="004318FF" w:rsidRPr="001B26E0" w:rsidRDefault="004318FF" w:rsidP="00341C87">
            <w:pPr>
              <w:rPr>
                <w:rFonts w:ascii="Century" w:hAnsi="Century" w:cs="Arial"/>
                <w:b/>
                <w:sz w:val="24"/>
                <w:szCs w:val="24"/>
              </w:rPr>
            </w:pPr>
            <w:r>
              <w:rPr>
                <w:rFonts w:ascii="Century" w:hAnsi="Century" w:cs="Arial"/>
                <w:b/>
                <w:sz w:val="24"/>
                <w:szCs w:val="24"/>
              </w:rPr>
              <w:t>Данные</w:t>
            </w:r>
          </w:p>
        </w:tc>
        <w:tc>
          <w:tcPr>
            <w:tcW w:w="2835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b/>
                <w:sz w:val="24"/>
                <w:szCs w:val="24"/>
              </w:rPr>
            </w:pPr>
            <w:r>
              <w:rPr>
                <w:rFonts w:ascii="Century" w:hAnsi="Century" w:cs="Arial"/>
                <w:b/>
                <w:sz w:val="24"/>
                <w:szCs w:val="24"/>
              </w:rPr>
              <w:t>2011 – 2012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b/>
                <w:sz w:val="24"/>
                <w:szCs w:val="24"/>
              </w:rPr>
            </w:pPr>
            <w:r>
              <w:rPr>
                <w:rFonts w:ascii="Century" w:hAnsi="Century" w:cs="Arial"/>
                <w:b/>
                <w:sz w:val="24"/>
                <w:szCs w:val="24"/>
              </w:rPr>
              <w:t>учебный год</w:t>
            </w:r>
          </w:p>
          <w:p w:rsidR="004318FF" w:rsidRPr="00E113AD" w:rsidRDefault="004318FF" w:rsidP="00341C87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 w:rsidRPr="00E113AD">
              <w:rPr>
                <w:rFonts w:ascii="Century" w:hAnsi="Century" w:cs="Arial"/>
                <w:sz w:val="24"/>
                <w:szCs w:val="24"/>
              </w:rPr>
              <w:t>157 человек</w:t>
            </w:r>
          </w:p>
        </w:tc>
        <w:tc>
          <w:tcPr>
            <w:tcW w:w="2551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b/>
                <w:sz w:val="24"/>
                <w:szCs w:val="24"/>
              </w:rPr>
            </w:pPr>
            <w:r>
              <w:rPr>
                <w:rFonts w:ascii="Century" w:hAnsi="Century" w:cs="Arial"/>
                <w:b/>
                <w:sz w:val="24"/>
                <w:szCs w:val="24"/>
              </w:rPr>
              <w:t>2012 – 2013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b/>
                <w:sz w:val="24"/>
                <w:szCs w:val="24"/>
              </w:rPr>
            </w:pPr>
            <w:r>
              <w:rPr>
                <w:rFonts w:ascii="Century" w:hAnsi="Century" w:cs="Arial"/>
                <w:b/>
                <w:sz w:val="24"/>
                <w:szCs w:val="24"/>
              </w:rPr>
              <w:t>учебный год</w:t>
            </w:r>
          </w:p>
          <w:p w:rsidR="004318FF" w:rsidRPr="00E113AD" w:rsidRDefault="004318FF" w:rsidP="00341C87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153 человека</w:t>
            </w:r>
          </w:p>
        </w:tc>
        <w:tc>
          <w:tcPr>
            <w:tcW w:w="2268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b/>
                <w:sz w:val="24"/>
                <w:szCs w:val="24"/>
              </w:rPr>
            </w:pPr>
            <w:r>
              <w:rPr>
                <w:rFonts w:ascii="Century" w:hAnsi="Century" w:cs="Arial"/>
                <w:b/>
                <w:sz w:val="24"/>
                <w:szCs w:val="24"/>
              </w:rPr>
              <w:t>2013 – 2014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b/>
                <w:sz w:val="24"/>
                <w:szCs w:val="24"/>
              </w:rPr>
            </w:pPr>
            <w:r>
              <w:rPr>
                <w:rFonts w:ascii="Century" w:hAnsi="Century" w:cs="Arial"/>
                <w:b/>
                <w:sz w:val="24"/>
                <w:szCs w:val="24"/>
              </w:rPr>
              <w:t>учебный год</w:t>
            </w:r>
          </w:p>
          <w:p w:rsidR="004318FF" w:rsidRPr="00E113AD" w:rsidRDefault="004318FF" w:rsidP="00341C87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157 человек</w:t>
            </w:r>
          </w:p>
        </w:tc>
        <w:tc>
          <w:tcPr>
            <w:tcW w:w="19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b/>
                <w:sz w:val="24"/>
                <w:szCs w:val="24"/>
              </w:rPr>
            </w:pPr>
            <w:r>
              <w:rPr>
                <w:rFonts w:ascii="Century" w:hAnsi="Century" w:cs="Arial"/>
                <w:b/>
                <w:sz w:val="24"/>
                <w:szCs w:val="24"/>
              </w:rPr>
              <w:t>2014 – 2015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b/>
                <w:sz w:val="24"/>
                <w:szCs w:val="24"/>
              </w:rPr>
            </w:pPr>
            <w:r>
              <w:rPr>
                <w:rFonts w:ascii="Century" w:hAnsi="Century" w:cs="Arial"/>
                <w:b/>
                <w:sz w:val="24"/>
                <w:szCs w:val="24"/>
              </w:rPr>
              <w:t>учебный год</w:t>
            </w: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159 человек</w:t>
            </w:r>
          </w:p>
        </w:tc>
      </w:tr>
      <w:tr w:rsidR="004318FF" w:rsidTr="00341C87">
        <w:trPr>
          <w:trHeight w:val="844"/>
        </w:trPr>
        <w:tc>
          <w:tcPr>
            <w:tcW w:w="549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CD14B1">
              <w:rPr>
                <w:rFonts w:ascii="Century" w:hAnsi="Century" w:cs="Arial"/>
                <w:sz w:val="28"/>
                <w:szCs w:val="28"/>
              </w:rPr>
              <w:t>1 группа здоровья</w:t>
            </w:r>
          </w:p>
        </w:tc>
        <w:tc>
          <w:tcPr>
            <w:tcW w:w="283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CD14B1">
              <w:rPr>
                <w:rFonts w:ascii="Century" w:hAnsi="Century" w:cs="Arial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CD14B1"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CD14B1">
              <w:rPr>
                <w:rFonts w:ascii="Century" w:hAnsi="Century" w:cs="Arial"/>
                <w:sz w:val="28"/>
                <w:szCs w:val="28"/>
              </w:rPr>
              <w:t>3</w:t>
            </w:r>
          </w:p>
        </w:tc>
        <w:tc>
          <w:tcPr>
            <w:tcW w:w="19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CD14B1">
              <w:rPr>
                <w:rFonts w:ascii="Century" w:hAnsi="Century" w:cs="Arial"/>
                <w:sz w:val="28"/>
                <w:szCs w:val="28"/>
              </w:rPr>
              <w:t>13</w:t>
            </w:r>
          </w:p>
        </w:tc>
      </w:tr>
      <w:tr w:rsidR="004318FF" w:rsidTr="00341C87">
        <w:trPr>
          <w:trHeight w:val="840"/>
        </w:trPr>
        <w:tc>
          <w:tcPr>
            <w:tcW w:w="5495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2 группа здоровья</w:t>
            </w:r>
          </w:p>
        </w:tc>
        <w:tc>
          <w:tcPr>
            <w:tcW w:w="2835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121</w:t>
            </w:r>
          </w:p>
        </w:tc>
        <w:tc>
          <w:tcPr>
            <w:tcW w:w="2551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119</w:t>
            </w:r>
          </w:p>
        </w:tc>
        <w:tc>
          <w:tcPr>
            <w:tcW w:w="2268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118</w:t>
            </w:r>
          </w:p>
        </w:tc>
        <w:tc>
          <w:tcPr>
            <w:tcW w:w="19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110</w:t>
            </w:r>
          </w:p>
        </w:tc>
      </w:tr>
      <w:tr w:rsidR="004318FF" w:rsidTr="00341C87">
        <w:trPr>
          <w:trHeight w:val="552"/>
        </w:trPr>
        <w:tc>
          <w:tcPr>
            <w:tcW w:w="5495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3 группа здоровья</w:t>
            </w:r>
          </w:p>
        </w:tc>
        <w:tc>
          <w:tcPr>
            <w:tcW w:w="2835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36</w:t>
            </w: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9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35</w:t>
            </w:r>
          </w:p>
        </w:tc>
      </w:tr>
      <w:tr w:rsidR="004318FF" w:rsidTr="00341C87">
        <w:trPr>
          <w:trHeight w:val="666"/>
        </w:trPr>
        <w:tc>
          <w:tcPr>
            <w:tcW w:w="5495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Инвалиды</w:t>
            </w:r>
          </w:p>
        </w:tc>
        <w:tc>
          <w:tcPr>
            <w:tcW w:w="2835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-----</w:t>
            </w:r>
          </w:p>
        </w:tc>
        <w:tc>
          <w:tcPr>
            <w:tcW w:w="2551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-----</w:t>
            </w:r>
          </w:p>
        </w:tc>
        <w:tc>
          <w:tcPr>
            <w:tcW w:w="2268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-----</w:t>
            </w:r>
          </w:p>
        </w:tc>
        <w:tc>
          <w:tcPr>
            <w:tcW w:w="19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</w:t>
            </w:r>
          </w:p>
        </w:tc>
      </w:tr>
      <w:tr w:rsidR="004318FF" w:rsidTr="00341C87">
        <w:trPr>
          <w:trHeight w:val="411"/>
        </w:trPr>
        <w:tc>
          <w:tcPr>
            <w:tcW w:w="549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Количество детей на «Д» учете</w:t>
            </w:r>
          </w:p>
        </w:tc>
        <w:tc>
          <w:tcPr>
            <w:tcW w:w="283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41</w:t>
            </w:r>
          </w:p>
        </w:tc>
        <w:tc>
          <w:tcPr>
            <w:tcW w:w="2551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37</w:t>
            </w:r>
          </w:p>
        </w:tc>
        <w:tc>
          <w:tcPr>
            <w:tcW w:w="1966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39</w:t>
            </w:r>
          </w:p>
        </w:tc>
      </w:tr>
      <w:tr w:rsidR="004318FF" w:rsidTr="00341C87">
        <w:trPr>
          <w:trHeight w:val="558"/>
        </w:trPr>
        <w:tc>
          <w:tcPr>
            <w:tcW w:w="5495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Дефекты речи</w:t>
            </w:r>
          </w:p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49</w:t>
            </w:r>
          </w:p>
        </w:tc>
        <w:tc>
          <w:tcPr>
            <w:tcW w:w="2551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88</w:t>
            </w:r>
          </w:p>
        </w:tc>
        <w:tc>
          <w:tcPr>
            <w:tcW w:w="2268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79</w:t>
            </w:r>
          </w:p>
        </w:tc>
        <w:tc>
          <w:tcPr>
            <w:tcW w:w="1966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76</w:t>
            </w:r>
          </w:p>
        </w:tc>
      </w:tr>
      <w:tr w:rsidR="004318FF" w:rsidTr="00341C87">
        <w:trPr>
          <w:trHeight w:val="440"/>
        </w:trPr>
        <w:tc>
          <w:tcPr>
            <w:tcW w:w="549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entury" w:hAnsi="Century" w:cs="Arial"/>
                <w:sz w:val="28"/>
                <w:szCs w:val="28"/>
              </w:rPr>
              <w:t>Желудочно</w:t>
            </w:r>
            <w:proofErr w:type="spellEnd"/>
            <w:r>
              <w:rPr>
                <w:rFonts w:ascii="Century" w:hAnsi="Century" w:cs="Arial"/>
                <w:sz w:val="28"/>
                <w:szCs w:val="28"/>
              </w:rPr>
              <w:t xml:space="preserve"> – кишечные</w:t>
            </w:r>
            <w:proofErr w:type="gramEnd"/>
            <w:r>
              <w:rPr>
                <w:rFonts w:ascii="Century" w:hAnsi="Century" w:cs="Arial"/>
                <w:sz w:val="28"/>
                <w:szCs w:val="28"/>
              </w:rPr>
              <w:t xml:space="preserve"> заболевания</w:t>
            </w:r>
          </w:p>
        </w:tc>
        <w:tc>
          <w:tcPr>
            <w:tcW w:w="283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3</w:t>
            </w:r>
          </w:p>
        </w:tc>
        <w:tc>
          <w:tcPr>
            <w:tcW w:w="1966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5</w:t>
            </w:r>
          </w:p>
        </w:tc>
      </w:tr>
      <w:tr w:rsidR="004318FF" w:rsidTr="00341C87">
        <w:trPr>
          <w:trHeight w:val="423"/>
        </w:trPr>
        <w:tc>
          <w:tcPr>
            <w:tcW w:w="549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Органы зрения</w:t>
            </w:r>
          </w:p>
        </w:tc>
        <w:tc>
          <w:tcPr>
            <w:tcW w:w="283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15</w:t>
            </w:r>
          </w:p>
        </w:tc>
        <w:tc>
          <w:tcPr>
            <w:tcW w:w="1966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15</w:t>
            </w:r>
          </w:p>
        </w:tc>
      </w:tr>
      <w:tr w:rsidR="004318FF" w:rsidTr="00341C87">
        <w:trPr>
          <w:trHeight w:val="423"/>
        </w:trPr>
        <w:tc>
          <w:tcPr>
            <w:tcW w:w="549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Ортопедическая патология</w:t>
            </w:r>
          </w:p>
        </w:tc>
        <w:tc>
          <w:tcPr>
            <w:tcW w:w="283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71</w:t>
            </w:r>
          </w:p>
        </w:tc>
        <w:tc>
          <w:tcPr>
            <w:tcW w:w="2551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77</w:t>
            </w:r>
          </w:p>
        </w:tc>
        <w:tc>
          <w:tcPr>
            <w:tcW w:w="1966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74</w:t>
            </w:r>
          </w:p>
        </w:tc>
      </w:tr>
      <w:tr w:rsidR="004318FF" w:rsidTr="00341C87">
        <w:trPr>
          <w:trHeight w:val="423"/>
        </w:trPr>
        <w:tc>
          <w:tcPr>
            <w:tcW w:w="549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Часто болеющие дети</w:t>
            </w:r>
          </w:p>
        </w:tc>
        <w:tc>
          <w:tcPr>
            <w:tcW w:w="283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21</w:t>
            </w:r>
          </w:p>
        </w:tc>
        <w:tc>
          <w:tcPr>
            <w:tcW w:w="1966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37</w:t>
            </w:r>
          </w:p>
        </w:tc>
      </w:tr>
      <w:tr w:rsidR="004318FF" w:rsidTr="00341C87">
        <w:trPr>
          <w:trHeight w:val="423"/>
        </w:trPr>
        <w:tc>
          <w:tcPr>
            <w:tcW w:w="549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Не болевшие дети</w:t>
            </w:r>
          </w:p>
        </w:tc>
        <w:tc>
          <w:tcPr>
            <w:tcW w:w="2835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14</w:t>
            </w:r>
          </w:p>
        </w:tc>
        <w:tc>
          <w:tcPr>
            <w:tcW w:w="1966" w:type="dxa"/>
          </w:tcPr>
          <w:p w:rsidR="004318FF" w:rsidRPr="00CD14B1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15</w:t>
            </w:r>
          </w:p>
        </w:tc>
      </w:tr>
      <w:tr w:rsidR="004318FF" w:rsidTr="00341C87">
        <w:trPr>
          <w:trHeight w:val="423"/>
        </w:trPr>
        <w:tc>
          <w:tcPr>
            <w:tcW w:w="5495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Индекс здоровья</w:t>
            </w:r>
          </w:p>
        </w:tc>
        <w:tc>
          <w:tcPr>
            <w:tcW w:w="2835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7,7</w:t>
            </w:r>
          </w:p>
        </w:tc>
        <w:tc>
          <w:tcPr>
            <w:tcW w:w="2268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9</w:t>
            </w:r>
          </w:p>
        </w:tc>
        <w:tc>
          <w:tcPr>
            <w:tcW w:w="1966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9,5</w:t>
            </w:r>
          </w:p>
        </w:tc>
      </w:tr>
    </w:tbl>
    <w:p w:rsidR="004318FF" w:rsidRDefault="004318FF" w:rsidP="004318FF">
      <w:pPr>
        <w:jc w:val="center"/>
        <w:rPr>
          <w:rFonts w:ascii="Century" w:hAnsi="Century" w:cs="Arial"/>
          <w:sz w:val="24"/>
          <w:szCs w:val="24"/>
        </w:rPr>
      </w:pPr>
    </w:p>
    <w:p w:rsidR="004318FF" w:rsidRPr="007D485B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 w:rsidRPr="007D485B">
        <w:rPr>
          <w:rFonts w:ascii="Century" w:hAnsi="Century" w:cs="Arial"/>
          <w:sz w:val="28"/>
          <w:szCs w:val="28"/>
        </w:rPr>
        <w:t xml:space="preserve">Таким образом, по сравнению с прошлым годом, увеличилось количество детей с первой группой здоровья, детей состоящих на диспансерном учете и часто болеющих детей. Незначительно снизилась ортопедическая патология и количество детей с дефектами речи. В этом направлении в течение всего учебного года проводилась планомерная работа по повышению уровня компетенций родителей в области профилактики вышеназванных патологий. С учетом выявленной патологии у каждого ребенка была индивидуальная программа по данным </w:t>
      </w:r>
      <w:r w:rsidRPr="007D485B">
        <w:rPr>
          <w:rFonts w:ascii="Century" w:hAnsi="Century" w:cs="Arial"/>
          <w:sz w:val="28"/>
          <w:szCs w:val="28"/>
        </w:rPr>
        <w:lastRenderedPageBreak/>
        <w:t>проблемам. Совместно со специалистами ДОУ на следующий учебный год разрабатываются комплексы мероприятий работы с детьми с различной патологией, с целью эффективного оздоровления дошкольников в условиях ДОУ.</w:t>
      </w:r>
    </w:p>
    <w:p w:rsidR="004318FF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318FF" w:rsidRPr="007D485B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318FF" w:rsidRDefault="004318FF" w:rsidP="004318FF">
      <w:pPr>
        <w:spacing w:after="0" w:line="240" w:lineRule="auto"/>
        <w:jc w:val="center"/>
        <w:rPr>
          <w:rFonts w:ascii="Century" w:hAnsi="Century" w:cs="Arial"/>
          <w:b/>
          <w:sz w:val="32"/>
          <w:szCs w:val="32"/>
        </w:rPr>
      </w:pPr>
      <w:r>
        <w:rPr>
          <w:rFonts w:ascii="Century" w:hAnsi="Century" w:cs="Arial"/>
          <w:b/>
          <w:sz w:val="32"/>
          <w:szCs w:val="32"/>
        </w:rPr>
        <w:t>Двигательный режим дня включает в себя:</w:t>
      </w:r>
    </w:p>
    <w:p w:rsidR="004318FF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318FF" w:rsidRDefault="004318FF" w:rsidP="004318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Подвижные игры в течение дня</w:t>
      </w:r>
    </w:p>
    <w:p w:rsidR="004318FF" w:rsidRDefault="004318FF" w:rsidP="004318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Утреннюю гимнастику с использованием дыхательных упражнений</w:t>
      </w:r>
    </w:p>
    <w:p w:rsidR="004318FF" w:rsidRDefault="004318FF" w:rsidP="004318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Музыкально – </w:t>
      </w:r>
      <w:proofErr w:type="gramStart"/>
      <w:r>
        <w:rPr>
          <w:rFonts w:ascii="Century" w:hAnsi="Century" w:cs="Arial"/>
          <w:sz w:val="28"/>
          <w:szCs w:val="28"/>
        </w:rPr>
        <w:t>ритмическую и физкультурную деятельность</w:t>
      </w:r>
      <w:proofErr w:type="gramEnd"/>
    </w:p>
    <w:p w:rsidR="004318FF" w:rsidRDefault="004318FF" w:rsidP="004318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proofErr w:type="spellStart"/>
      <w:r>
        <w:rPr>
          <w:rFonts w:ascii="Century" w:hAnsi="Century" w:cs="Arial"/>
          <w:sz w:val="28"/>
          <w:szCs w:val="28"/>
        </w:rPr>
        <w:t>Логоритмические</w:t>
      </w:r>
      <w:proofErr w:type="spellEnd"/>
      <w:r>
        <w:rPr>
          <w:rFonts w:ascii="Century" w:hAnsi="Century" w:cs="Arial"/>
          <w:sz w:val="28"/>
          <w:szCs w:val="28"/>
        </w:rPr>
        <w:t xml:space="preserve"> упражнения</w:t>
      </w:r>
    </w:p>
    <w:p w:rsidR="004318FF" w:rsidRDefault="004318FF" w:rsidP="004318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Физкультурный досуг и спортивные праздники</w:t>
      </w:r>
    </w:p>
    <w:p w:rsidR="004318FF" w:rsidRDefault="004318FF" w:rsidP="004318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Прогулки</w:t>
      </w:r>
    </w:p>
    <w:p w:rsidR="004318FF" w:rsidRDefault="004318FF" w:rsidP="004318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Оздоровительные мероприятия</w:t>
      </w:r>
    </w:p>
    <w:p w:rsidR="004318FF" w:rsidRDefault="004318FF" w:rsidP="004318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Самостоятельную двигательную деятельность детей в течение дня</w:t>
      </w:r>
    </w:p>
    <w:p w:rsidR="004318FF" w:rsidRDefault="004318FF" w:rsidP="004318FF">
      <w:pPr>
        <w:pStyle w:val="a4"/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318FF" w:rsidRPr="00AE4C91" w:rsidRDefault="004318FF" w:rsidP="004318FF">
      <w:pPr>
        <w:pStyle w:val="a4"/>
        <w:spacing w:after="0" w:line="240" w:lineRule="auto"/>
        <w:jc w:val="both"/>
        <w:rPr>
          <w:rFonts w:ascii="Century" w:hAnsi="Century" w:cs="Arial"/>
          <w:i/>
          <w:sz w:val="28"/>
          <w:szCs w:val="28"/>
        </w:rPr>
      </w:pPr>
      <w:r w:rsidRPr="00AE4C91">
        <w:rPr>
          <w:rFonts w:ascii="Century" w:hAnsi="Century" w:cs="Arial"/>
          <w:i/>
          <w:sz w:val="28"/>
          <w:szCs w:val="28"/>
        </w:rPr>
        <w:t>В летний период проводятся закаливающие процедуры, т</w:t>
      </w:r>
      <w:proofErr w:type="gramStart"/>
      <w:r w:rsidRPr="00AE4C91">
        <w:rPr>
          <w:rFonts w:ascii="Century" w:hAnsi="Century" w:cs="Arial"/>
          <w:i/>
          <w:sz w:val="28"/>
          <w:szCs w:val="28"/>
        </w:rPr>
        <w:t>.к</w:t>
      </w:r>
      <w:proofErr w:type="gramEnd"/>
      <w:r w:rsidRPr="00AE4C91">
        <w:rPr>
          <w:rFonts w:ascii="Century" w:hAnsi="Century" w:cs="Arial"/>
          <w:i/>
          <w:sz w:val="28"/>
          <w:szCs w:val="28"/>
        </w:rPr>
        <w:t>:</w:t>
      </w:r>
    </w:p>
    <w:p w:rsidR="004318FF" w:rsidRDefault="004318FF" w:rsidP="004318FF">
      <w:pPr>
        <w:pStyle w:val="a4"/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318FF" w:rsidRDefault="004318FF" w:rsidP="004318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Утренний прием детей на улице</w:t>
      </w:r>
    </w:p>
    <w:p w:rsidR="004318FF" w:rsidRDefault="004318FF" w:rsidP="004318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Солнечные и воздушные ванны</w:t>
      </w:r>
    </w:p>
    <w:p w:rsidR="004318FF" w:rsidRDefault="004318FF" w:rsidP="004318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В теплый период года ежедневное обливание ног прохладной водой</w:t>
      </w:r>
    </w:p>
    <w:p w:rsidR="004318FF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318FF" w:rsidRPr="00AE4C91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318FF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E2EBE" w:rsidRDefault="004E2EBE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E2EBE" w:rsidRDefault="004E2EBE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E2EBE" w:rsidRDefault="004E2EBE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E2EBE" w:rsidRDefault="004E2EBE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E2EBE" w:rsidRDefault="004E2EBE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318FF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318FF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</w:p>
    <w:p w:rsidR="004318FF" w:rsidRDefault="004318FF" w:rsidP="004318FF">
      <w:pPr>
        <w:spacing w:after="0" w:line="240" w:lineRule="auto"/>
        <w:jc w:val="center"/>
        <w:rPr>
          <w:rFonts w:ascii="Century" w:hAnsi="Century" w:cs="Arial"/>
          <w:b/>
          <w:sz w:val="32"/>
          <w:szCs w:val="32"/>
        </w:rPr>
      </w:pPr>
      <w:r>
        <w:rPr>
          <w:rFonts w:ascii="Century" w:hAnsi="Century" w:cs="Arial"/>
          <w:b/>
          <w:sz w:val="32"/>
          <w:szCs w:val="32"/>
        </w:rPr>
        <w:t>Динамика адаптации вновь поступивших детей</w:t>
      </w:r>
    </w:p>
    <w:p w:rsidR="004318FF" w:rsidRDefault="004318FF" w:rsidP="004318FF">
      <w:pPr>
        <w:spacing w:after="0" w:line="240" w:lineRule="auto"/>
        <w:jc w:val="center"/>
        <w:rPr>
          <w:rFonts w:ascii="Century" w:hAnsi="Century" w:cs="Arial"/>
          <w:b/>
          <w:sz w:val="32"/>
          <w:szCs w:val="32"/>
        </w:rPr>
      </w:pPr>
    </w:p>
    <w:tbl>
      <w:tblPr>
        <w:tblStyle w:val="a3"/>
        <w:tblW w:w="15165" w:type="dxa"/>
        <w:tblLook w:val="04A0"/>
      </w:tblPr>
      <w:tblGrid>
        <w:gridCol w:w="2802"/>
        <w:gridCol w:w="2551"/>
        <w:gridCol w:w="3270"/>
        <w:gridCol w:w="3271"/>
        <w:gridCol w:w="3271"/>
      </w:tblGrid>
      <w:tr w:rsidR="004318FF" w:rsidTr="00341C87">
        <w:trPr>
          <w:trHeight w:val="369"/>
        </w:trPr>
        <w:tc>
          <w:tcPr>
            <w:tcW w:w="2802" w:type="dxa"/>
            <w:vMerge w:val="restart"/>
          </w:tcPr>
          <w:p w:rsidR="004318FF" w:rsidRPr="00AE4C91" w:rsidRDefault="004318FF" w:rsidP="00341C87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AE4C91">
              <w:rPr>
                <w:rFonts w:ascii="Century" w:hAnsi="Century" w:cs="Arial"/>
                <w:b/>
                <w:sz w:val="28"/>
                <w:szCs w:val="28"/>
              </w:rPr>
              <w:t>Уче</w:t>
            </w:r>
            <w:r>
              <w:rPr>
                <w:rFonts w:ascii="Century" w:hAnsi="Century" w:cs="Arial"/>
                <w:b/>
                <w:sz w:val="28"/>
                <w:szCs w:val="28"/>
              </w:rPr>
              <w:t>бный год</w:t>
            </w:r>
          </w:p>
        </w:tc>
        <w:tc>
          <w:tcPr>
            <w:tcW w:w="2551" w:type="dxa"/>
            <w:vMerge w:val="restart"/>
          </w:tcPr>
          <w:p w:rsidR="004318FF" w:rsidRPr="00AE4C91" w:rsidRDefault="004318FF" w:rsidP="00341C87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>
              <w:rPr>
                <w:rFonts w:ascii="Century" w:hAnsi="Century" w:cs="Arial"/>
                <w:b/>
                <w:sz w:val="28"/>
                <w:szCs w:val="28"/>
              </w:rPr>
              <w:t>Число детей</w:t>
            </w:r>
          </w:p>
        </w:tc>
        <w:tc>
          <w:tcPr>
            <w:tcW w:w="9812" w:type="dxa"/>
            <w:gridSpan w:val="3"/>
          </w:tcPr>
          <w:p w:rsidR="004318FF" w:rsidRPr="00AE4C91" w:rsidRDefault="004318FF" w:rsidP="00341C87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>
              <w:rPr>
                <w:rFonts w:ascii="Century" w:hAnsi="Century" w:cs="Arial"/>
                <w:b/>
                <w:sz w:val="28"/>
                <w:szCs w:val="28"/>
              </w:rPr>
              <w:t>Степень адаптации</w:t>
            </w:r>
          </w:p>
        </w:tc>
      </w:tr>
      <w:tr w:rsidR="004318FF" w:rsidTr="00341C87">
        <w:trPr>
          <w:trHeight w:val="369"/>
        </w:trPr>
        <w:tc>
          <w:tcPr>
            <w:tcW w:w="2802" w:type="dxa"/>
            <w:vMerge/>
          </w:tcPr>
          <w:p w:rsidR="004318FF" w:rsidRPr="00AE4C91" w:rsidRDefault="004318FF" w:rsidP="00341C87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318FF" w:rsidRPr="00AE4C91" w:rsidRDefault="004318FF" w:rsidP="00341C87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</w:p>
        </w:tc>
        <w:tc>
          <w:tcPr>
            <w:tcW w:w="3270" w:type="dxa"/>
          </w:tcPr>
          <w:p w:rsidR="004318FF" w:rsidRPr="00AE4C91" w:rsidRDefault="004318FF" w:rsidP="00341C87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>
              <w:rPr>
                <w:rFonts w:ascii="Century" w:hAnsi="Century" w:cs="Arial"/>
                <w:b/>
                <w:sz w:val="28"/>
                <w:szCs w:val="28"/>
              </w:rPr>
              <w:t>Легкая</w:t>
            </w:r>
          </w:p>
        </w:tc>
        <w:tc>
          <w:tcPr>
            <w:tcW w:w="3271" w:type="dxa"/>
          </w:tcPr>
          <w:p w:rsidR="004318FF" w:rsidRPr="00AE4C91" w:rsidRDefault="004318FF" w:rsidP="00341C87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>
              <w:rPr>
                <w:rFonts w:ascii="Century" w:hAnsi="Century" w:cs="Arial"/>
                <w:b/>
                <w:sz w:val="28"/>
                <w:szCs w:val="28"/>
              </w:rPr>
              <w:t>Средняя</w:t>
            </w:r>
          </w:p>
        </w:tc>
        <w:tc>
          <w:tcPr>
            <w:tcW w:w="3271" w:type="dxa"/>
          </w:tcPr>
          <w:p w:rsidR="004318FF" w:rsidRPr="00AE4C91" w:rsidRDefault="004318FF" w:rsidP="00341C87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>
              <w:rPr>
                <w:rFonts w:ascii="Century" w:hAnsi="Century" w:cs="Arial"/>
                <w:b/>
                <w:sz w:val="28"/>
                <w:szCs w:val="28"/>
              </w:rPr>
              <w:t>Тяжелая</w:t>
            </w:r>
          </w:p>
        </w:tc>
      </w:tr>
      <w:tr w:rsidR="004318FF" w:rsidTr="00341C87">
        <w:trPr>
          <w:trHeight w:val="742"/>
        </w:trPr>
        <w:tc>
          <w:tcPr>
            <w:tcW w:w="2802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2014 – 2015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42</w:t>
            </w:r>
          </w:p>
        </w:tc>
        <w:tc>
          <w:tcPr>
            <w:tcW w:w="3270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18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43%</w:t>
            </w:r>
          </w:p>
        </w:tc>
        <w:tc>
          <w:tcPr>
            <w:tcW w:w="3271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15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36%</w:t>
            </w:r>
          </w:p>
        </w:tc>
        <w:tc>
          <w:tcPr>
            <w:tcW w:w="3271" w:type="dxa"/>
          </w:tcPr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9</w:t>
            </w:r>
          </w:p>
          <w:p w:rsidR="004318FF" w:rsidRDefault="004318FF" w:rsidP="00341C87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21%</w:t>
            </w:r>
          </w:p>
        </w:tc>
      </w:tr>
    </w:tbl>
    <w:p w:rsidR="004318FF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 </w:t>
      </w:r>
    </w:p>
    <w:p w:rsidR="004318FF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           По результатам диагностики уровня </w:t>
      </w:r>
      <w:proofErr w:type="spellStart"/>
      <w:r>
        <w:rPr>
          <w:rFonts w:ascii="Century" w:hAnsi="Century" w:cs="Arial"/>
          <w:sz w:val="28"/>
          <w:szCs w:val="28"/>
        </w:rPr>
        <w:t>адаптированности</w:t>
      </w:r>
      <w:proofErr w:type="spellEnd"/>
      <w:r>
        <w:rPr>
          <w:rFonts w:ascii="Century" w:hAnsi="Century" w:cs="Arial"/>
          <w:sz w:val="28"/>
          <w:szCs w:val="28"/>
        </w:rPr>
        <w:t xml:space="preserve"> детей раннего возраста группы №1 получены следующие данные: высокий уровень наблюдается у 18 детей, что составляет 43% от общего количества обследуемых. У 15 детей (36%) отмечались отдельные отрицательные проявления в период адаптации и заболевания острыми респираторными инфекциями. У таких детей адаптация длилась от 2 до 3 месяцев, что говорит о средней степени тяжести </w:t>
      </w:r>
      <w:proofErr w:type="spellStart"/>
      <w:r>
        <w:rPr>
          <w:rFonts w:ascii="Century" w:hAnsi="Century" w:cs="Arial"/>
          <w:sz w:val="28"/>
          <w:szCs w:val="28"/>
        </w:rPr>
        <w:t>адаптированности</w:t>
      </w:r>
      <w:proofErr w:type="spellEnd"/>
      <w:r>
        <w:rPr>
          <w:rFonts w:ascii="Century" w:hAnsi="Century" w:cs="Arial"/>
          <w:sz w:val="28"/>
          <w:szCs w:val="28"/>
        </w:rPr>
        <w:t>. С низким уровнем адаптации 9 детей (21%). Это дети, которые зарегистрированы как часто болеющие (ЧДБ), дети с низким уровнем здоровья тяжело переносят пребывание в ДОУ, сопровождающееся психологическим переживанием типа эмоционального стресса, нередки проявления асоциального поведения (непослушание, неадекватная реакция, ссоры со сверстниками, агрессия).</w:t>
      </w:r>
    </w:p>
    <w:p w:rsidR="004318FF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          Таким образом, 21% адаптирующихся детей нуждаются в психологической помощи, а так же в наблюдении специалистами (педиатра, невролога). Для родителей, чьи дети зачислены по итогам адаптации в группу «риска», рекомендовано дополнительное обращение к педагогу – психологу с целью более глубокого изучения проблемы и определения индивидуального маршрута. Воспитателям и родителям были даны рекомендации по устранению причин </w:t>
      </w:r>
      <w:proofErr w:type="spellStart"/>
      <w:r>
        <w:rPr>
          <w:rFonts w:ascii="Century" w:hAnsi="Century" w:cs="Arial"/>
          <w:sz w:val="28"/>
          <w:szCs w:val="28"/>
        </w:rPr>
        <w:t>дезадаптации</w:t>
      </w:r>
      <w:proofErr w:type="spellEnd"/>
      <w:r>
        <w:rPr>
          <w:rFonts w:ascii="Century" w:hAnsi="Century" w:cs="Arial"/>
          <w:sz w:val="28"/>
          <w:szCs w:val="28"/>
        </w:rPr>
        <w:t xml:space="preserve"> детей.</w:t>
      </w:r>
    </w:p>
    <w:p w:rsidR="004318FF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           В МДОУ организовано 5 – разовое питание (включая второй завтрак), на основании нового утвержденного 10 – дневного меню и разработанных к нему технологических карт.</w:t>
      </w:r>
    </w:p>
    <w:p w:rsidR="004318FF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           Сформированный рацион питания соответствует по пищевой ценности возрастным нормам, включает в себя продукты натурального происхождения, а так же овощи, фрукты и соки ежедневно. Строго соблюдается технология приготовления всех блюд, используются только натуральные продукты питания.</w:t>
      </w:r>
    </w:p>
    <w:p w:rsidR="004318FF" w:rsidRPr="0058039E" w:rsidRDefault="004318FF" w:rsidP="004318FF">
      <w:pPr>
        <w:spacing w:after="0" w:line="240" w:lineRule="auto"/>
        <w:jc w:val="both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>Оснащение пищеблока способствует разнообразию рациона воспитанников детского сада: это тушеные, паровые блюда, выпечка собственного производства.</w:t>
      </w:r>
    </w:p>
    <w:p w:rsidR="00480446" w:rsidRPr="00A46BD1" w:rsidRDefault="00480446" w:rsidP="004E2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480446" w:rsidRPr="00A46BD1" w:rsidSect="004804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D16"/>
    <w:multiLevelType w:val="hybridMultilevel"/>
    <w:tmpl w:val="24C64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F405E"/>
    <w:multiLevelType w:val="hybridMultilevel"/>
    <w:tmpl w:val="757C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6035A1"/>
    <w:multiLevelType w:val="hybridMultilevel"/>
    <w:tmpl w:val="639E1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446"/>
    <w:rsid w:val="00087092"/>
    <w:rsid w:val="00244F61"/>
    <w:rsid w:val="003D3C0D"/>
    <w:rsid w:val="004318FF"/>
    <w:rsid w:val="00443C95"/>
    <w:rsid w:val="00480446"/>
    <w:rsid w:val="004E2EBE"/>
    <w:rsid w:val="007122CC"/>
    <w:rsid w:val="007A4256"/>
    <w:rsid w:val="00835542"/>
    <w:rsid w:val="00EC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2014-11-13T06:14:00Z</dcterms:created>
  <dcterms:modified xsi:type="dcterms:W3CDTF">2015-09-15T14:01:00Z</dcterms:modified>
</cp:coreProperties>
</file>